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F3F0F" w:rsidP="006F3F0F" w14:paraId="0829350A" w14:textId="77777777">
      <w:pPr>
        <w:spacing w:line="480" w:lineRule="auto"/>
        <w:jc w:val="center"/>
      </w:pPr>
    </w:p>
    <w:p w:rsidR="006F3F0F" w:rsidP="006F3F0F" w14:paraId="67EE62DF" w14:textId="77777777">
      <w:pPr>
        <w:spacing w:line="480" w:lineRule="auto"/>
        <w:jc w:val="center"/>
      </w:pPr>
    </w:p>
    <w:p w:rsidR="006F3F0F" w:rsidP="006F3F0F" w14:paraId="121FE5C6" w14:textId="77777777">
      <w:pPr>
        <w:spacing w:line="480" w:lineRule="auto"/>
        <w:jc w:val="center"/>
      </w:pPr>
    </w:p>
    <w:p w:rsidR="006F3F0F" w:rsidP="006F3F0F" w14:paraId="64AB637A" w14:textId="77777777">
      <w:pPr>
        <w:spacing w:line="480" w:lineRule="auto"/>
        <w:jc w:val="center"/>
      </w:pPr>
    </w:p>
    <w:p w:rsidR="006F3F0F" w:rsidP="006F3F0F" w14:paraId="09B90AA6" w14:textId="77777777">
      <w:pPr>
        <w:spacing w:line="480" w:lineRule="auto"/>
        <w:jc w:val="center"/>
      </w:pPr>
    </w:p>
    <w:p w:rsidR="006F3F0F" w:rsidP="006F3F0F" w14:paraId="43B3F190" w14:textId="1E143EC7">
      <w:pPr>
        <w:spacing w:line="480" w:lineRule="auto"/>
        <w:jc w:val="center"/>
      </w:pPr>
      <w:r>
        <w:t>Telemedicine implementation plan</w:t>
      </w:r>
    </w:p>
    <w:p w:rsidR="006F3F0F" w:rsidP="006F3F0F" w14:paraId="6E857E63" w14:textId="55A142B9">
      <w:pPr>
        <w:spacing w:line="480" w:lineRule="auto"/>
        <w:jc w:val="center"/>
      </w:pPr>
      <w:r>
        <w:t>Student Name</w:t>
      </w:r>
    </w:p>
    <w:p w:rsidR="006F3F0F" w:rsidP="006F3F0F" w14:paraId="2689960A" w14:textId="3560C13A">
      <w:pPr>
        <w:spacing w:line="480" w:lineRule="auto"/>
        <w:jc w:val="center"/>
      </w:pPr>
      <w:r>
        <w:t>Institution Affiliation</w:t>
      </w:r>
    </w:p>
    <w:p w:rsidR="006F3F0F" w:rsidP="006F3F0F" w14:paraId="5BE19028" w14:textId="6DA9A8B4">
      <w:pPr>
        <w:spacing w:line="480" w:lineRule="auto"/>
        <w:jc w:val="center"/>
      </w:pPr>
      <w:r>
        <w:t>Date</w:t>
      </w:r>
    </w:p>
    <w:p w:rsidR="006F3F0F" w14:paraId="650D32EA" w14:textId="2D1DDCBA">
      <w:r>
        <w:br w:type="page"/>
      </w:r>
    </w:p>
    <w:p w:rsidR="00AA70D2" w:rsidRPr="00E173D5" w:rsidP="00E173D5" w14:paraId="1024275D" w14:textId="5BA0D262">
      <w:pPr>
        <w:spacing w:line="480" w:lineRule="auto"/>
        <w:ind w:firstLine="720"/>
        <w:jc w:val="both"/>
        <w:rPr>
          <w:b/>
          <w:bCs/>
        </w:rPr>
      </w:pPr>
      <w:r w:rsidRPr="00E173D5">
        <w:rPr>
          <w:b/>
          <w:bCs/>
        </w:rPr>
        <w:t>Introduction.</w:t>
      </w:r>
    </w:p>
    <w:p w:rsidR="009269FE" w:rsidP="00E173D5" w14:paraId="375828ED" w14:textId="77447BB1">
      <w:pPr>
        <w:spacing w:line="480" w:lineRule="auto"/>
        <w:ind w:firstLine="720"/>
        <w:jc w:val="both"/>
      </w:pPr>
      <w:r w:rsidRPr="00CD0441">
        <w:rPr>
          <w:rFonts w:cs="Times New Roman"/>
        </w:rPr>
        <w:t>Implementation is the process of moving an idea from a concept to reality</w:t>
      </w:r>
      <w:r w:rsidR="00170E64">
        <w:rPr>
          <w:rFonts w:cs="Times New Roman"/>
        </w:rPr>
        <w:t xml:space="preserve"> (</w:t>
      </w:r>
      <w:r w:rsidR="00170E64">
        <w:rPr>
          <w:rFonts w:cs="Times New Roman"/>
        </w:rPr>
        <w:t>Alonge</w:t>
      </w:r>
      <w:r w:rsidR="00170E64">
        <w:rPr>
          <w:rFonts w:cs="Times New Roman"/>
        </w:rPr>
        <w:t xml:space="preserve"> et al, 2019)</w:t>
      </w:r>
      <w:r>
        <w:rPr>
          <w:rFonts w:cs="Times New Roman"/>
        </w:rPr>
        <w:t>. Implementation of this research will involve taking the telemedicine design and turning it into a reality. This chapter will cover how to ensure research is ethical, methods involved in recruiting, and methods of collecting quantita</w:t>
      </w:r>
      <w:r w:rsidR="00606348">
        <w:rPr>
          <w:rFonts w:cs="Times New Roman"/>
        </w:rPr>
        <w:t>ti</w:t>
      </w:r>
      <w:r>
        <w:rPr>
          <w:rFonts w:cs="Times New Roman"/>
        </w:rPr>
        <w:t xml:space="preserve">ve data. </w:t>
      </w:r>
    </w:p>
    <w:p w:rsidR="00F80FDC" w:rsidRPr="00E173D5" w:rsidP="00E173D5" w14:paraId="01161CF2" w14:textId="2853546C">
      <w:pPr>
        <w:spacing w:line="480" w:lineRule="auto"/>
        <w:ind w:firstLine="720"/>
        <w:jc w:val="both"/>
        <w:rPr>
          <w:b/>
          <w:bCs/>
        </w:rPr>
      </w:pPr>
      <w:r w:rsidRPr="00E173D5">
        <w:rPr>
          <w:b/>
          <w:bCs/>
        </w:rPr>
        <w:t>Ensuring the research is ethical.</w:t>
      </w:r>
    </w:p>
    <w:p w:rsidR="001D1843" w:rsidP="00E173D5" w14:paraId="303055DE" w14:textId="3A522E96">
      <w:pPr>
        <w:spacing w:line="480" w:lineRule="auto"/>
        <w:ind w:firstLine="720"/>
        <w:jc w:val="both"/>
      </w:pPr>
      <w:r>
        <w:t xml:space="preserve">Ethics in research defines the standards that govern how scientific researches are conducted. That is, </w:t>
      </w:r>
      <w:r>
        <w:t>ethics</w:t>
      </w:r>
      <w:r>
        <w:t xml:space="preserve"> support the important values for collaborative work such as fairness, respect, privacy, and confidentiality of information.</w:t>
      </w:r>
      <w:r>
        <w:t xml:space="preserve"> </w:t>
      </w:r>
      <w:r>
        <w:t xml:space="preserve">The challenges in research ethics involve a lack of anonymity with the process, breach of confidentiality of participants' personal information, lack of informed consent, and the possibility of participants and researcher influencing each other. Moreover, falsification and fabrication of results by the researchers by making up of their data, leading to integrity issues. Also, researchers turning a blind eye to misconduct, and failing to report oversight which led to dropping out of donors, and unlawful death of participants. Therefore, to ensure that </w:t>
      </w:r>
      <w:r>
        <w:t>this</w:t>
      </w:r>
      <w:r>
        <w:t xml:space="preserve"> research </w:t>
      </w:r>
      <w:r>
        <w:t>will be</w:t>
      </w:r>
      <w:r>
        <w:t xml:space="preserve"> conducted ethically,</w:t>
      </w:r>
      <w:r>
        <w:t xml:space="preserve"> there will be the presence of informed consent that will </w:t>
      </w:r>
      <w:r w:rsidR="00C40EC9">
        <w:t>allow</w:t>
      </w:r>
      <w:r>
        <w:t xml:space="preserve"> researchers to collect certain information from the research participants</w:t>
      </w:r>
      <w:r w:rsidR="002B48B0">
        <w:t>, and following the informed consent rules</w:t>
      </w:r>
      <w:r>
        <w:t xml:space="preserve">. </w:t>
      </w:r>
      <w:r w:rsidR="00C40EC9">
        <w:t xml:space="preserve">Moreover, keeping records secure by utilization of passwords and effective encryption strategies would ensure that confidentiality, privacy, and anonymity of the files, and security when sending </w:t>
      </w:r>
      <w:r w:rsidR="00170E64">
        <w:t>that information</w:t>
      </w:r>
      <w:r w:rsidR="00C40EC9">
        <w:t xml:space="preserve"> over the internet. </w:t>
      </w:r>
      <w:r w:rsidR="00D37C9B">
        <w:t xml:space="preserve">Moreover, </w:t>
      </w:r>
      <w:r>
        <w:t>offering the respondents the right to withdraw from your research anytime they feel uncomfortable with the research</w:t>
      </w:r>
      <w:r w:rsidR="00D37C9B">
        <w:t xml:space="preserve">, would assure the </w:t>
      </w:r>
      <w:r w:rsidR="00170E64">
        <w:t>participants</w:t>
      </w:r>
      <w:r w:rsidR="00D37C9B">
        <w:t xml:space="preserve"> that the researcher has integrity</w:t>
      </w:r>
      <w:r w:rsidR="00170E64">
        <w:t xml:space="preserve"> (Yip et al, 2016)</w:t>
      </w:r>
      <w:r w:rsidR="00D37C9B">
        <w:t xml:space="preserve">. </w:t>
      </w:r>
    </w:p>
    <w:p w:rsidR="006960D9" w:rsidP="00E173D5" w14:paraId="7DD20EC0" w14:textId="11ECCC63">
      <w:pPr>
        <w:spacing w:line="480" w:lineRule="auto"/>
        <w:ind w:firstLine="720"/>
        <w:jc w:val="both"/>
      </w:pPr>
      <w:r>
        <w:rPr>
          <w:noProof/>
        </w:rPr>
        <w:drawing>
          <wp:inline distT="0" distB="0" distL="0" distR="0">
            <wp:extent cx="5943600" cy="45281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stretch>
                      <a:fillRect/>
                    </a:stretch>
                  </pic:blipFill>
                  <pic:spPr>
                    <a:xfrm>
                      <a:off x="0" y="0"/>
                      <a:ext cx="5943600" cy="4528185"/>
                    </a:xfrm>
                    <a:prstGeom prst="rect">
                      <a:avLst/>
                    </a:prstGeom>
                  </pic:spPr>
                </pic:pic>
              </a:graphicData>
            </a:graphic>
          </wp:inline>
        </w:drawing>
      </w:r>
    </w:p>
    <w:p w:rsidR="00F80FDC" w:rsidRPr="00E173D5" w:rsidP="00E173D5" w14:paraId="52882DE1" w14:textId="4D2D0E54">
      <w:pPr>
        <w:spacing w:line="480" w:lineRule="auto"/>
        <w:ind w:firstLine="720"/>
        <w:jc w:val="both"/>
        <w:rPr>
          <w:b/>
          <w:bCs/>
        </w:rPr>
      </w:pPr>
      <w:r w:rsidRPr="00E173D5">
        <w:rPr>
          <w:b/>
          <w:bCs/>
        </w:rPr>
        <w:t>Methods of recruiting participants.</w:t>
      </w:r>
    </w:p>
    <w:p w:rsidR="006C31D7" w:rsidP="00E173D5" w14:paraId="548B7B9A" w14:textId="4FCA578E">
      <w:pPr>
        <w:spacing w:line="480" w:lineRule="auto"/>
        <w:ind w:firstLine="720"/>
        <w:jc w:val="both"/>
      </w:pPr>
      <w:r>
        <w:t xml:space="preserve">Finding the right demographic for research can be a complicated task. </w:t>
      </w:r>
      <w:r w:rsidR="00370D22">
        <w:t>Researchers usually recruit participants using fliers, advert</w:t>
      </w:r>
      <w:r w:rsidR="00873497">
        <w:t>i</w:t>
      </w:r>
      <w:r w:rsidR="00370D22">
        <w:t xml:space="preserve">sements, letters, emails, and newspapers. </w:t>
      </w:r>
      <w:r w:rsidR="00936455">
        <w:t>Based on research by (</w:t>
      </w:r>
      <w:r w:rsidR="00C2177F">
        <w:t>Largent et al, 2017</w:t>
      </w:r>
      <w:r w:rsidR="00936455">
        <w:t>),</w:t>
      </w:r>
      <w:r w:rsidR="00C2177F">
        <w:t xml:space="preserve"> some researchers often offer payment as an incentive to recruit participants into their research. </w:t>
      </w:r>
      <w:r w:rsidR="006A0DB8">
        <w:t xml:space="preserve">Therefore, for this research, an advertisement for participating patients will be made through hospital newsletters and through email subscriptions for those patients that have a subscription. </w:t>
      </w:r>
      <w:r w:rsidR="004A5D6E">
        <w:t>For the medical practitioners, recruiting will be done through fliers posted throughout the institution</w:t>
      </w:r>
      <w:r w:rsidR="006A0DB8">
        <w:rPr>
          <w:szCs w:val="24"/>
        </w:rPr>
        <w:t xml:space="preserve">. The questionnaires will be distributed through work emails </w:t>
      </w:r>
      <w:r w:rsidR="006A0DB8">
        <w:rPr>
          <w:szCs w:val="24"/>
        </w:rPr>
        <w:t xml:space="preserve">to all the medical practitioners of </w:t>
      </w:r>
      <w:bookmarkStart w:id="0" w:name="_Hlk78398700"/>
      <w:r w:rsidR="006A0DB8">
        <w:rPr>
          <w:szCs w:val="24"/>
        </w:rPr>
        <w:t>True Health Medical centers</w:t>
      </w:r>
      <w:bookmarkEnd w:id="0"/>
      <w:r w:rsidR="006A0DB8">
        <w:rPr>
          <w:szCs w:val="24"/>
        </w:rPr>
        <w:t xml:space="preserve">, and the patients will receive the questionnaire through the monthly newsletter from the hospital. </w:t>
      </w:r>
      <w:r w:rsidR="00936455">
        <w:t xml:space="preserve"> </w:t>
      </w:r>
    </w:p>
    <w:p w:rsidR="00F80FDC" w:rsidRPr="00E173D5" w:rsidP="00E173D5" w14:paraId="7FE2FCC0" w14:textId="36C04C11">
      <w:pPr>
        <w:spacing w:line="480" w:lineRule="auto"/>
        <w:ind w:firstLine="720"/>
        <w:jc w:val="both"/>
        <w:rPr>
          <w:b/>
          <w:bCs/>
        </w:rPr>
      </w:pPr>
      <w:r w:rsidRPr="00E173D5">
        <w:rPr>
          <w:b/>
          <w:bCs/>
        </w:rPr>
        <w:t>Quantitative data collection.</w:t>
      </w:r>
    </w:p>
    <w:p w:rsidR="000A2A70" w:rsidP="00E173D5" w14:paraId="0A3303F7" w14:textId="2A8992FC">
      <w:pPr>
        <w:spacing w:line="480" w:lineRule="auto"/>
        <w:ind w:firstLine="720"/>
        <w:jc w:val="both"/>
      </w:pPr>
      <w:r>
        <w:t>Quantitative data refers to the numerical data that has been collected and analyzed for the purpose of describing, predicting, or controlling variables of interest. Quantitative data assumes a fixed or measurable reality that has been collected by measuring things</w:t>
      </w:r>
      <w:r>
        <w:t xml:space="preserve"> (Noyes et al, 2019). </w:t>
      </w:r>
      <w:r w:rsidR="0054238B">
        <w:t>For this research, I will collect quantitative data such as age, participants address, no satisfied patients with the telemedicine services</w:t>
      </w:r>
      <w:r w:rsidR="009008B2">
        <w:t xml:space="preserve">, no </w:t>
      </w:r>
      <w:r w:rsidR="009008B2">
        <w:t>dissatisfied</w:t>
      </w:r>
      <w:r w:rsidR="009008B2">
        <w:t xml:space="preserve"> patients with the telemedicine servic</w:t>
      </w:r>
      <w:r w:rsidR="009008B2">
        <w:t xml:space="preserve">es, no equipment dedicated for telemedicine services, and the amount of information regarding telemedicine on the hospital's servers. </w:t>
      </w:r>
    </w:p>
    <w:p w:rsidR="00F80FDC" w:rsidRPr="00E173D5" w:rsidP="00E173D5" w14:paraId="205A989C" w14:textId="1C54ADFD">
      <w:pPr>
        <w:spacing w:line="480" w:lineRule="auto"/>
        <w:ind w:firstLine="720"/>
        <w:jc w:val="both"/>
        <w:rPr>
          <w:b/>
          <w:bCs/>
        </w:rPr>
      </w:pPr>
      <w:r w:rsidRPr="00E173D5">
        <w:rPr>
          <w:b/>
          <w:bCs/>
        </w:rPr>
        <w:t>Co</w:t>
      </w:r>
      <w:r w:rsidRPr="00E173D5" w:rsidR="003A2EE8">
        <w:rPr>
          <w:b/>
          <w:bCs/>
        </w:rPr>
        <w:t>n</w:t>
      </w:r>
      <w:r w:rsidRPr="00E173D5">
        <w:rPr>
          <w:b/>
          <w:bCs/>
        </w:rPr>
        <w:t>clusion.</w:t>
      </w:r>
    </w:p>
    <w:p w:rsidR="00FF3CC9" w:rsidP="00E173D5" w14:paraId="77A38F8F" w14:textId="1ECF0AC2">
      <w:pPr>
        <w:spacing w:line="480" w:lineRule="auto"/>
        <w:ind w:firstLine="720"/>
        <w:jc w:val="both"/>
      </w:pPr>
      <w:r>
        <w:t xml:space="preserve">In summary, </w:t>
      </w:r>
      <w:r w:rsidR="003A4F88">
        <w:t xml:space="preserve">implementation of a design in research requires understanding effective methods of data collection, recruiting participants, and ensuring that the research </w:t>
      </w:r>
      <w:r w:rsidR="00665EDD">
        <w:t>is</w:t>
      </w:r>
      <w:r w:rsidR="003A4F88">
        <w:t xml:space="preserve"> conducted ethically. </w:t>
      </w:r>
      <w:r w:rsidR="00665EDD">
        <w:t>Moreover, it is important to collect both qualitative and quantitative data</w:t>
      </w:r>
      <w:r w:rsidR="00D910E1">
        <w:t xml:space="preserve"> to ensure that important details are collected to attain the best results </w:t>
      </w:r>
      <w:r w:rsidR="0085704A">
        <w:t xml:space="preserve">from the research. </w:t>
      </w:r>
    </w:p>
    <w:p w:rsidR="00FF3CC9" w14:paraId="07DC670F" w14:textId="77777777">
      <w:r>
        <w:br w:type="page"/>
      </w:r>
    </w:p>
    <w:p w:rsidR="00DD4F4E" w:rsidP="00E173D5" w14:paraId="6BA11C7E" w14:textId="77777777">
      <w:pPr>
        <w:spacing w:line="480" w:lineRule="auto"/>
        <w:ind w:firstLine="720"/>
        <w:jc w:val="both"/>
      </w:pPr>
    </w:p>
    <w:p w:rsidR="00F16638" w:rsidRPr="00EF056B" w:rsidP="00EF056B" w14:paraId="4FA8DC2C" w14:textId="09389ACA">
      <w:pPr>
        <w:jc w:val="center"/>
        <w:rPr>
          <w:b/>
          <w:bCs/>
        </w:rPr>
      </w:pPr>
      <w:r w:rsidRPr="00EF056B">
        <w:rPr>
          <w:b/>
          <w:bCs/>
        </w:rPr>
        <w:t>Reference.</w:t>
      </w:r>
    </w:p>
    <w:p w:rsidR="00EF056B" w:rsidRPr="00EF056B" w:rsidP="00EF056B" w14:paraId="28CBE531" w14:textId="77777777">
      <w:pPr>
        <w:spacing w:line="480" w:lineRule="auto"/>
        <w:ind w:left="720" w:hanging="720"/>
        <w:jc w:val="both"/>
        <w:rPr>
          <w:rFonts w:cs="Times New Roman"/>
          <w:color w:val="222222"/>
          <w:szCs w:val="24"/>
          <w:shd w:val="clear" w:color="auto" w:fill="FFFFFF"/>
        </w:rPr>
      </w:pPr>
      <w:r w:rsidRPr="00EF056B">
        <w:rPr>
          <w:rFonts w:cs="Times New Roman"/>
          <w:color w:val="222222"/>
          <w:szCs w:val="24"/>
          <w:shd w:val="clear" w:color="auto" w:fill="FFFFFF"/>
        </w:rPr>
        <w:t>Alonge</w:t>
      </w:r>
      <w:r w:rsidRPr="00EF056B">
        <w:rPr>
          <w:rFonts w:cs="Times New Roman"/>
          <w:color w:val="222222"/>
          <w:szCs w:val="24"/>
          <w:shd w:val="clear" w:color="auto" w:fill="FFFFFF"/>
        </w:rPr>
        <w:t xml:space="preserve">, O., Rodriguez, D. C., </w:t>
      </w:r>
      <w:r w:rsidRPr="00EF056B">
        <w:rPr>
          <w:rFonts w:cs="Times New Roman"/>
          <w:color w:val="222222"/>
          <w:szCs w:val="24"/>
          <w:shd w:val="clear" w:color="auto" w:fill="FFFFFF"/>
        </w:rPr>
        <w:t>Brandes</w:t>
      </w:r>
      <w:r w:rsidRPr="00EF056B">
        <w:rPr>
          <w:rFonts w:cs="Times New Roman"/>
          <w:color w:val="222222"/>
          <w:szCs w:val="24"/>
          <w:shd w:val="clear" w:color="auto" w:fill="FFFFFF"/>
        </w:rPr>
        <w:t xml:space="preserve">, N., </w:t>
      </w:r>
      <w:r w:rsidRPr="00EF056B">
        <w:rPr>
          <w:rFonts w:cs="Times New Roman"/>
          <w:color w:val="222222"/>
          <w:szCs w:val="24"/>
          <w:shd w:val="clear" w:color="auto" w:fill="FFFFFF"/>
        </w:rPr>
        <w:t>Geng</w:t>
      </w:r>
      <w:r w:rsidRPr="00EF056B">
        <w:rPr>
          <w:rFonts w:cs="Times New Roman"/>
          <w:color w:val="222222"/>
          <w:szCs w:val="24"/>
          <w:shd w:val="clear" w:color="auto" w:fill="FFFFFF"/>
        </w:rPr>
        <w:t xml:space="preserve">, E., </w:t>
      </w:r>
      <w:r w:rsidRPr="00EF056B">
        <w:rPr>
          <w:rFonts w:cs="Times New Roman"/>
          <w:color w:val="222222"/>
          <w:szCs w:val="24"/>
          <w:shd w:val="clear" w:color="auto" w:fill="FFFFFF"/>
        </w:rPr>
        <w:t>Reveiz</w:t>
      </w:r>
      <w:r w:rsidRPr="00EF056B">
        <w:rPr>
          <w:rFonts w:cs="Times New Roman"/>
          <w:color w:val="222222"/>
          <w:szCs w:val="24"/>
          <w:shd w:val="clear" w:color="auto" w:fill="FFFFFF"/>
        </w:rPr>
        <w:t xml:space="preserve">, L., &amp; Peters, D. H. (2019). How is implementation research applied to advance health in low-income and middle-income </w:t>
      </w:r>
      <w:r w:rsidRPr="00EF056B">
        <w:rPr>
          <w:rFonts w:cs="Times New Roman"/>
          <w:color w:val="222222"/>
          <w:szCs w:val="24"/>
          <w:shd w:val="clear" w:color="auto" w:fill="FFFFFF"/>
        </w:rPr>
        <w:t>countries?.</w:t>
      </w:r>
      <w:r w:rsidRPr="00EF056B">
        <w:rPr>
          <w:rFonts w:cs="Times New Roman"/>
          <w:color w:val="222222"/>
          <w:szCs w:val="24"/>
          <w:shd w:val="clear" w:color="auto" w:fill="FFFFFF"/>
        </w:rPr>
        <w:t> </w:t>
      </w:r>
      <w:r w:rsidRPr="00EF056B">
        <w:rPr>
          <w:rFonts w:cs="Times New Roman"/>
          <w:i/>
          <w:iCs/>
          <w:color w:val="222222"/>
          <w:szCs w:val="24"/>
          <w:shd w:val="clear" w:color="auto" w:fill="FFFFFF"/>
        </w:rPr>
        <w:t>BMJ Global Health</w:t>
      </w:r>
      <w:r w:rsidRPr="00EF056B">
        <w:rPr>
          <w:rFonts w:cs="Times New Roman"/>
          <w:color w:val="222222"/>
          <w:szCs w:val="24"/>
          <w:shd w:val="clear" w:color="auto" w:fill="FFFFFF"/>
        </w:rPr>
        <w:t>, </w:t>
      </w:r>
      <w:r w:rsidRPr="00EF056B">
        <w:rPr>
          <w:rFonts w:cs="Times New Roman"/>
          <w:i/>
          <w:iCs/>
          <w:color w:val="222222"/>
          <w:szCs w:val="24"/>
          <w:shd w:val="clear" w:color="auto" w:fill="FFFFFF"/>
        </w:rPr>
        <w:t>4</w:t>
      </w:r>
      <w:r w:rsidRPr="00EF056B">
        <w:rPr>
          <w:rFonts w:cs="Times New Roman"/>
          <w:color w:val="222222"/>
          <w:szCs w:val="24"/>
          <w:shd w:val="clear" w:color="auto" w:fill="FFFFFF"/>
        </w:rPr>
        <w:t>(2), e001257.</w:t>
      </w:r>
    </w:p>
    <w:p w:rsidR="00EF056B" w:rsidRPr="00EF056B" w:rsidP="00EF056B" w14:paraId="31245B4C" w14:textId="77777777">
      <w:pPr>
        <w:spacing w:line="480" w:lineRule="auto"/>
        <w:ind w:left="720" w:hanging="720"/>
        <w:jc w:val="both"/>
        <w:rPr>
          <w:rFonts w:cs="Times New Roman"/>
          <w:color w:val="222222"/>
          <w:szCs w:val="24"/>
          <w:shd w:val="clear" w:color="auto" w:fill="FFFFFF"/>
        </w:rPr>
      </w:pPr>
      <w:r w:rsidRPr="00EF056B">
        <w:rPr>
          <w:rFonts w:cs="Times New Roman"/>
          <w:color w:val="222222"/>
          <w:szCs w:val="24"/>
          <w:shd w:val="clear" w:color="auto" w:fill="FFFFFF"/>
        </w:rPr>
        <w:t>Largent, E. A., &amp; Lynch, H. F. (2017). Paying research participants: regulatory uncertainty, conceptual confusion, and a path forward. </w:t>
      </w:r>
      <w:r w:rsidRPr="00EF056B">
        <w:rPr>
          <w:rFonts w:cs="Times New Roman"/>
          <w:i/>
          <w:iCs/>
          <w:color w:val="222222"/>
          <w:szCs w:val="24"/>
          <w:shd w:val="clear" w:color="auto" w:fill="FFFFFF"/>
        </w:rPr>
        <w:t>Yale journal of health policy, law, and ethics</w:t>
      </w:r>
      <w:r w:rsidRPr="00EF056B">
        <w:rPr>
          <w:rFonts w:cs="Times New Roman"/>
          <w:color w:val="222222"/>
          <w:szCs w:val="24"/>
          <w:shd w:val="clear" w:color="auto" w:fill="FFFFFF"/>
        </w:rPr>
        <w:t>, </w:t>
      </w:r>
      <w:r w:rsidRPr="00EF056B">
        <w:rPr>
          <w:rFonts w:cs="Times New Roman"/>
          <w:i/>
          <w:iCs/>
          <w:color w:val="222222"/>
          <w:szCs w:val="24"/>
          <w:shd w:val="clear" w:color="auto" w:fill="FFFFFF"/>
        </w:rPr>
        <w:t>17</w:t>
      </w:r>
      <w:r w:rsidRPr="00EF056B">
        <w:rPr>
          <w:rFonts w:cs="Times New Roman"/>
          <w:color w:val="222222"/>
          <w:szCs w:val="24"/>
          <w:shd w:val="clear" w:color="auto" w:fill="FFFFFF"/>
        </w:rPr>
        <w:t>(1), 61.</w:t>
      </w:r>
    </w:p>
    <w:p w:rsidR="00EF056B" w:rsidRPr="00EF056B" w:rsidP="00EF056B" w14:paraId="5ACF4BEC" w14:textId="77777777">
      <w:pPr>
        <w:spacing w:line="480" w:lineRule="auto"/>
        <w:ind w:left="720" w:hanging="720"/>
        <w:jc w:val="both"/>
        <w:rPr>
          <w:rFonts w:cs="Times New Roman"/>
          <w:color w:val="222222"/>
          <w:szCs w:val="24"/>
          <w:shd w:val="clear" w:color="auto" w:fill="FFFFFF"/>
        </w:rPr>
      </w:pPr>
      <w:r w:rsidRPr="00EF056B">
        <w:rPr>
          <w:rFonts w:cs="Times New Roman"/>
          <w:color w:val="222222"/>
          <w:szCs w:val="24"/>
          <w:shd w:val="clear" w:color="auto" w:fill="FFFFFF"/>
        </w:rPr>
        <w:t xml:space="preserve">Noyes, J., Booth, A., Moore, G., </w:t>
      </w:r>
      <w:r w:rsidRPr="00EF056B">
        <w:rPr>
          <w:rFonts w:cs="Times New Roman"/>
          <w:color w:val="222222"/>
          <w:szCs w:val="24"/>
          <w:shd w:val="clear" w:color="auto" w:fill="FFFFFF"/>
        </w:rPr>
        <w:t>Flemming</w:t>
      </w:r>
      <w:r w:rsidRPr="00EF056B">
        <w:rPr>
          <w:rFonts w:cs="Times New Roman"/>
          <w:color w:val="222222"/>
          <w:szCs w:val="24"/>
          <w:shd w:val="clear" w:color="auto" w:fill="FFFFFF"/>
        </w:rPr>
        <w:t xml:space="preserve">, K., </w:t>
      </w:r>
      <w:r w:rsidRPr="00EF056B">
        <w:rPr>
          <w:rFonts w:cs="Times New Roman"/>
          <w:color w:val="222222"/>
          <w:szCs w:val="24"/>
          <w:shd w:val="clear" w:color="auto" w:fill="FFFFFF"/>
        </w:rPr>
        <w:t>Tunçalp</w:t>
      </w:r>
      <w:r w:rsidRPr="00EF056B">
        <w:rPr>
          <w:rFonts w:cs="Times New Roman"/>
          <w:color w:val="222222"/>
          <w:szCs w:val="24"/>
          <w:shd w:val="clear" w:color="auto" w:fill="FFFFFF"/>
        </w:rPr>
        <w:t xml:space="preserve">, Ö., &amp; </w:t>
      </w:r>
      <w:r w:rsidRPr="00EF056B">
        <w:rPr>
          <w:rFonts w:cs="Times New Roman"/>
          <w:color w:val="222222"/>
          <w:szCs w:val="24"/>
          <w:shd w:val="clear" w:color="auto" w:fill="FFFFFF"/>
        </w:rPr>
        <w:t>Shakibazadeh</w:t>
      </w:r>
      <w:r w:rsidRPr="00EF056B">
        <w:rPr>
          <w:rFonts w:cs="Times New Roman"/>
          <w:color w:val="222222"/>
          <w:szCs w:val="24"/>
          <w:shd w:val="clear" w:color="auto" w:fill="FFFFFF"/>
        </w:rPr>
        <w:t xml:space="preserve">, E. (2019). </w:t>
      </w:r>
      <w:r w:rsidRPr="00EF056B">
        <w:rPr>
          <w:rFonts w:cs="Times New Roman"/>
          <w:color w:val="222222"/>
          <w:szCs w:val="24"/>
          <w:shd w:val="clear" w:color="auto" w:fill="FFFFFF"/>
        </w:rPr>
        <w:t>Synthesizing</w:t>
      </w:r>
      <w:r w:rsidRPr="00EF056B">
        <w:rPr>
          <w:rFonts w:cs="Times New Roman"/>
          <w:color w:val="222222"/>
          <w:szCs w:val="24"/>
          <w:shd w:val="clear" w:color="auto" w:fill="FFFFFF"/>
        </w:rPr>
        <w:t xml:space="preserve"> quantitative and qualitative evidence to inform guidelines on complex interventions: clarifying the purposes, designs, and outlining some methods. </w:t>
      </w:r>
      <w:r w:rsidRPr="00EF056B">
        <w:rPr>
          <w:rFonts w:cs="Times New Roman"/>
          <w:i/>
          <w:iCs/>
          <w:color w:val="222222"/>
          <w:szCs w:val="24"/>
          <w:shd w:val="clear" w:color="auto" w:fill="FFFFFF"/>
        </w:rPr>
        <w:t>BMJ global health</w:t>
      </w:r>
      <w:r w:rsidRPr="00EF056B">
        <w:rPr>
          <w:rFonts w:cs="Times New Roman"/>
          <w:color w:val="222222"/>
          <w:szCs w:val="24"/>
          <w:shd w:val="clear" w:color="auto" w:fill="FFFFFF"/>
        </w:rPr>
        <w:t>, </w:t>
      </w:r>
      <w:r w:rsidRPr="00EF056B">
        <w:rPr>
          <w:rFonts w:cs="Times New Roman"/>
          <w:i/>
          <w:iCs/>
          <w:color w:val="222222"/>
          <w:szCs w:val="24"/>
          <w:shd w:val="clear" w:color="auto" w:fill="FFFFFF"/>
        </w:rPr>
        <w:t>4</w:t>
      </w:r>
      <w:r w:rsidRPr="00EF056B">
        <w:rPr>
          <w:rFonts w:cs="Times New Roman"/>
          <w:color w:val="222222"/>
          <w:szCs w:val="24"/>
          <w:shd w:val="clear" w:color="auto" w:fill="FFFFFF"/>
        </w:rPr>
        <w:t>(Suppl 1), e000893.</w:t>
      </w:r>
    </w:p>
    <w:p w:rsidR="00EF056B" w:rsidRPr="00EF056B" w:rsidP="00EF056B" w14:paraId="5DA08A5A" w14:textId="77777777">
      <w:pPr>
        <w:spacing w:line="480" w:lineRule="auto"/>
        <w:ind w:left="720" w:hanging="720"/>
        <w:jc w:val="both"/>
        <w:rPr>
          <w:rFonts w:cs="Times New Roman"/>
          <w:color w:val="222222"/>
          <w:szCs w:val="24"/>
          <w:shd w:val="clear" w:color="auto" w:fill="FFFFFF"/>
        </w:rPr>
      </w:pPr>
      <w:r w:rsidRPr="00EF056B">
        <w:rPr>
          <w:rFonts w:cs="Times New Roman"/>
          <w:color w:val="222222"/>
          <w:szCs w:val="24"/>
          <w:shd w:val="clear" w:color="auto" w:fill="FFFFFF"/>
        </w:rPr>
        <w:t xml:space="preserve">Yip, C., Han, N. L. R., &amp; </w:t>
      </w:r>
      <w:r w:rsidRPr="00EF056B">
        <w:rPr>
          <w:rFonts w:cs="Times New Roman"/>
          <w:color w:val="222222"/>
          <w:szCs w:val="24"/>
          <w:shd w:val="clear" w:color="auto" w:fill="FFFFFF"/>
        </w:rPr>
        <w:t>Sng</w:t>
      </w:r>
      <w:r w:rsidRPr="00EF056B">
        <w:rPr>
          <w:rFonts w:cs="Times New Roman"/>
          <w:color w:val="222222"/>
          <w:szCs w:val="24"/>
          <w:shd w:val="clear" w:color="auto" w:fill="FFFFFF"/>
        </w:rPr>
        <w:t>, B. L. (2016). Legal and ethical issues in research. </w:t>
      </w:r>
      <w:r w:rsidRPr="00EF056B">
        <w:rPr>
          <w:rFonts w:cs="Times New Roman"/>
          <w:i/>
          <w:iCs/>
          <w:color w:val="222222"/>
          <w:szCs w:val="24"/>
          <w:shd w:val="clear" w:color="auto" w:fill="FFFFFF"/>
        </w:rPr>
        <w:t xml:space="preserve">Indian journal of </w:t>
      </w:r>
      <w:r w:rsidRPr="00EF056B">
        <w:rPr>
          <w:rFonts w:cs="Times New Roman"/>
          <w:i/>
          <w:iCs/>
          <w:color w:val="222222"/>
          <w:szCs w:val="24"/>
          <w:shd w:val="clear" w:color="auto" w:fill="FFFFFF"/>
        </w:rPr>
        <w:t>anesthesia</w:t>
      </w:r>
      <w:r w:rsidRPr="00EF056B">
        <w:rPr>
          <w:rFonts w:cs="Times New Roman"/>
          <w:color w:val="222222"/>
          <w:szCs w:val="24"/>
          <w:shd w:val="clear" w:color="auto" w:fill="FFFFFF"/>
        </w:rPr>
        <w:t>, </w:t>
      </w:r>
      <w:r w:rsidRPr="00EF056B">
        <w:rPr>
          <w:rFonts w:cs="Times New Roman"/>
          <w:i/>
          <w:iCs/>
          <w:color w:val="222222"/>
          <w:szCs w:val="24"/>
          <w:shd w:val="clear" w:color="auto" w:fill="FFFFFF"/>
        </w:rPr>
        <w:t>60</w:t>
      </w:r>
      <w:r w:rsidRPr="00EF056B">
        <w:rPr>
          <w:rFonts w:cs="Times New Roman"/>
          <w:color w:val="222222"/>
          <w:szCs w:val="24"/>
          <w:shd w:val="clear" w:color="auto" w:fill="FFFFFF"/>
        </w:rPr>
        <w:t>(9), 684.</w:t>
      </w:r>
    </w:p>
    <w:p w:rsidR="0039420D" w14:paraId="27499B42" w14:textId="77777777"/>
    <w:p w:rsidR="00F16638" w14:paraId="05DF8476" w14:textId="77777777"/>
    <w:p w:rsidR="00992E26" w14:paraId="1B77ECAA" w14:textId="62BEFF30"/>
    <w:p w:rsidR="00992E26" w14:paraId="5450AE93" w14:textId="36462AF3"/>
    <w:p w:rsidR="00992E26" w14:paraId="3CEA752F" w14:textId="099E5BCD"/>
    <w:p w:rsidR="00992E26" w14:paraId="1B348524" w14:textId="48E47C5C"/>
    <w:p w:rsidR="00992E26" w14:paraId="0083BDC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53"/>
    <w:rsid w:val="000A2A70"/>
    <w:rsid w:val="00170E64"/>
    <w:rsid w:val="001D1843"/>
    <w:rsid w:val="002B48B0"/>
    <w:rsid w:val="00370D22"/>
    <w:rsid w:val="0039420D"/>
    <w:rsid w:val="003A2EE8"/>
    <w:rsid w:val="003A4F88"/>
    <w:rsid w:val="004A5D6E"/>
    <w:rsid w:val="0054238B"/>
    <w:rsid w:val="00606348"/>
    <w:rsid w:val="00665EDD"/>
    <w:rsid w:val="006960D9"/>
    <w:rsid w:val="006A0DB8"/>
    <w:rsid w:val="006C31D7"/>
    <w:rsid w:val="006F3F0F"/>
    <w:rsid w:val="0085704A"/>
    <w:rsid w:val="00873497"/>
    <w:rsid w:val="009008B2"/>
    <w:rsid w:val="009269FE"/>
    <w:rsid w:val="00936455"/>
    <w:rsid w:val="00992E26"/>
    <w:rsid w:val="00A41853"/>
    <w:rsid w:val="00AA70D2"/>
    <w:rsid w:val="00B960D4"/>
    <w:rsid w:val="00C2177F"/>
    <w:rsid w:val="00C40EC9"/>
    <w:rsid w:val="00CB489D"/>
    <w:rsid w:val="00CD0441"/>
    <w:rsid w:val="00D37C9B"/>
    <w:rsid w:val="00D910E1"/>
    <w:rsid w:val="00DA25A5"/>
    <w:rsid w:val="00DD4F4E"/>
    <w:rsid w:val="00E173D5"/>
    <w:rsid w:val="00EF056B"/>
    <w:rsid w:val="00F16638"/>
    <w:rsid w:val="00F80FDC"/>
    <w:rsid w:val="00FF3C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62C3A8"/>
  <w15:chartTrackingRefBased/>
  <w15:docId w15:val="{41313E80-8D0E-4A77-8256-70CE6D152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dcterms:created xsi:type="dcterms:W3CDTF">2021-07-28T16:11:00Z</dcterms:created>
  <dcterms:modified xsi:type="dcterms:W3CDTF">2021-07-28T18:30:00Z</dcterms:modified>
</cp:coreProperties>
</file>